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4D6D3531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FD6FE5">
        <w:rPr>
          <w:rFonts w:ascii="Times New Roman" w:eastAsia="Times New Roman" w:hAnsi="Times New Roman"/>
        </w:rPr>
        <w:t>Probability and Statistics</w:t>
      </w:r>
      <w:r w:rsidR="00A244D6" w:rsidRPr="00F358D9">
        <w:rPr>
          <w:rFonts w:ascii="Times New Roman" w:hAnsi="Times New Roman"/>
        </w:rPr>
        <w:t xml:space="preserve"> – Unit </w:t>
      </w:r>
      <w:r w:rsidR="00FD6FE5">
        <w:rPr>
          <w:rFonts w:ascii="Times New Roman" w:eastAsia="Times New Roman" w:hAnsi="Times New Roman"/>
        </w:rPr>
        <w:t>4</w:t>
      </w:r>
      <w:r w:rsidR="00A244D6" w:rsidRPr="00F358D9">
        <w:rPr>
          <w:rFonts w:ascii="Times New Roman" w:hAnsi="Times New Roman"/>
        </w:rPr>
        <w:t xml:space="preserve"> – Module </w:t>
      </w:r>
      <w:r w:rsidR="00FD6FE5">
        <w:rPr>
          <w:rFonts w:ascii="Times New Roman" w:eastAsia="Times New Roman" w:hAnsi="Times New Roman"/>
        </w:rPr>
        <w:t>B</w:t>
      </w:r>
    </w:p>
    <w:p w14:paraId="12AE012C" w14:textId="719E8598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FD6FE5">
        <w:rPr>
          <w:rFonts w:ascii="Times New Roman" w:hAnsi="Times New Roman" w:cs="Times New Roman"/>
          <w:b/>
          <w:sz w:val="28"/>
          <w:szCs w:val="28"/>
        </w:rPr>
        <w:t>7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646A6A4" w14:textId="77777777" w:rsidR="00B17C36" w:rsidRPr="00B17C36" w:rsidRDefault="00B17C36" w:rsidP="00B17C36">
      <w:pPr>
        <w:rPr>
          <w:sz w:val="12"/>
          <w:szCs w:val="12"/>
        </w:rPr>
      </w:pPr>
    </w:p>
    <w:p w14:paraId="5FB992B2" w14:textId="7EDEE662" w:rsidR="00B17C36" w:rsidRDefault="00651FC7" w:rsidP="00DC131B">
      <w:pPr>
        <w:pStyle w:val="Standard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0AEBFD2A" wp14:editId="1A5BEE2E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A9C5EF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Yodw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B17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7.SP.A.1</w:t>
      </w:r>
      <w:r w:rsidR="00B17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statistics can be used to gain information about a population by examining a sample of the population; generalizations</w:t>
      </w:r>
      <w:r w:rsidR="00DC131B">
        <w:t xml:space="preserve"> </w:t>
      </w:r>
      <w:r w:rsidR="00B17C36">
        <w:rPr>
          <w:rFonts w:ascii="Times New Roman" w:eastAsia="Times New Roman" w:hAnsi="Times New Roman" w:cs="Times New Roman"/>
          <w:color w:val="000000"/>
          <w:sz w:val="24"/>
          <w:szCs w:val="24"/>
        </w:rPr>
        <w:t>about a population from a sample are valid only if the sample is representative of that population. Understand that random sampling tends to</w:t>
      </w:r>
      <w:r w:rsidR="00DC131B">
        <w:t xml:space="preserve"> </w:t>
      </w:r>
      <w:r w:rsidR="00B17C36">
        <w:rPr>
          <w:rFonts w:ascii="Times New Roman" w:eastAsia="Times New Roman" w:hAnsi="Times New Roman" w:cs="Times New Roman"/>
          <w:color w:val="000000"/>
          <w:sz w:val="24"/>
          <w:szCs w:val="24"/>
        </w:rPr>
        <w:t>produce representative samples and support valid inferences.</w:t>
      </w:r>
    </w:p>
    <w:p w14:paraId="009F99C6" w14:textId="64E3B23C" w:rsidR="00B17C36" w:rsidRDefault="00651FC7" w:rsidP="00DC131B">
      <w:pPr>
        <w:pStyle w:val="Standard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7EFEDE14" wp14:editId="129A93B7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7641D0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B17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7.SP.A.2</w:t>
      </w:r>
      <w:r w:rsidR="00B17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data from a random sample to draw inferences about a population with an unknown characteristic of interest. Generate multiple</w:t>
      </w:r>
      <w:r w:rsidR="00DC131B">
        <w:t xml:space="preserve"> </w:t>
      </w:r>
      <w:r w:rsidR="00B17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samples (or simulated samples) of the same size to gauge the variation in estimates or predictions. </w:t>
      </w:r>
      <w:r w:rsidR="00B17C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estimate the mean word length in</w:t>
      </w:r>
      <w:r w:rsidR="00DC131B">
        <w:t xml:space="preserve"> </w:t>
      </w:r>
      <w:r w:rsidR="00B17C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 book by randomly sampling words from the book; predict the winner of a school election based on randomly sampled survey data. Gauge how</w:t>
      </w:r>
      <w:r w:rsidR="00DC131B">
        <w:t xml:space="preserve"> </w:t>
      </w:r>
      <w:r w:rsidR="00B17C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far off the estimate or prediction might be.</w:t>
      </w:r>
    </w:p>
    <w:p w14:paraId="4E723ED6" w14:textId="7C606CD8" w:rsidR="00B17C36" w:rsidRDefault="00651FC7" w:rsidP="00DC131B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27C4F85" wp14:editId="66035CE2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0B0A8" w14:textId="77777777" w:rsidR="00651FC7" w:rsidRPr="0025693A" w:rsidRDefault="00651FC7" w:rsidP="00651FC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7C4F8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Z8ps0a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33C0B0A8" w14:textId="77777777" w:rsidR="00651FC7" w:rsidRPr="0025693A" w:rsidRDefault="00651FC7" w:rsidP="00651FC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17C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7.SP.B.3</w:t>
      </w:r>
      <w:r w:rsidR="00B17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Informally assess the degree of visual overlap of two numerical data distributions with similar variabilities, measuring the difference</w:t>
      </w:r>
      <w:r w:rsidR="00DC131B">
        <w:t xml:space="preserve"> </w:t>
      </w:r>
      <w:r w:rsidR="00B17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between the centers by expressing it as a multiple of a measure of variability. </w:t>
      </w:r>
      <w:r w:rsidR="00B17C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the mean height of players on the basketball team is</w:t>
      </w:r>
      <w:r w:rsidR="00DC131B">
        <w:t xml:space="preserve"> </w:t>
      </w:r>
      <w:r w:rsidR="00B17C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 cm greater than the mean height of players on the soccer team, about twice the variability (mean absolute deviation) on either team; on a dot</w:t>
      </w:r>
      <w:r w:rsidR="00DC131B">
        <w:t xml:space="preserve"> </w:t>
      </w:r>
      <w:r w:rsidR="00B17C3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plot, the separation between the two distributions of heights is noticeable.</w:t>
      </w:r>
    </w:p>
    <w:p w14:paraId="60472CC7" w14:textId="5F96659D" w:rsidR="00B17C36" w:rsidRPr="00B77090" w:rsidRDefault="00651FC7" w:rsidP="00DC131B">
      <w:pPr>
        <w:spacing w:after="0" w:line="240" w:lineRule="auto"/>
        <w:ind w:left="245" w:hanging="245"/>
        <w:rPr>
          <w:rFonts w:ascii="Times New Roman" w:hAnsi="Times New Roman" w:cs="Times New Roman"/>
          <w:sz w:val="24"/>
          <w:szCs w:val="24"/>
        </w:rPr>
      </w:pPr>
      <w:r w:rsidRPr="00B7709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12E51148" wp14:editId="78D4C2D5">
                <wp:extent cx="118872" cy="118872"/>
                <wp:effectExtent l="0" t="0" r="33655" b="33655"/>
                <wp:docPr id="4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F3374" w14:textId="77777777" w:rsidR="00651FC7" w:rsidRPr="0025693A" w:rsidRDefault="00651FC7" w:rsidP="00651FC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E51148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AYa0f0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2A0F3374" w14:textId="77777777" w:rsidR="00651FC7" w:rsidRPr="0025693A" w:rsidRDefault="00651FC7" w:rsidP="00651FC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17C36" w:rsidRPr="00B77090">
        <w:rPr>
          <w:rFonts w:ascii="Times New Roman" w:hAnsi="Times New Roman" w:cs="Times New Roman"/>
          <w:b/>
          <w:sz w:val="24"/>
          <w:szCs w:val="24"/>
        </w:rPr>
        <w:t>7.SP.B.4</w:t>
      </w:r>
      <w:r w:rsidR="00B17C36" w:rsidRPr="00B77090">
        <w:rPr>
          <w:rFonts w:ascii="Times New Roman" w:hAnsi="Times New Roman" w:cs="Times New Roman"/>
          <w:sz w:val="24"/>
          <w:szCs w:val="24"/>
        </w:rPr>
        <w:t xml:space="preserve"> Use measures of center and measures of variability for numerical data from random samples to draw informal comparative inferences</w:t>
      </w:r>
      <w:r w:rsidR="00DC131B">
        <w:rPr>
          <w:rFonts w:ascii="Times New Roman" w:hAnsi="Times New Roman" w:cs="Times New Roman"/>
          <w:sz w:val="24"/>
          <w:szCs w:val="24"/>
        </w:rPr>
        <w:t xml:space="preserve"> </w:t>
      </w:r>
      <w:r w:rsidR="00B17C36" w:rsidRPr="00B77090">
        <w:rPr>
          <w:rFonts w:ascii="Times New Roman" w:hAnsi="Times New Roman" w:cs="Times New Roman"/>
          <w:sz w:val="24"/>
          <w:szCs w:val="24"/>
        </w:rPr>
        <w:t>about two populations</w:t>
      </w:r>
      <w:r w:rsidR="00B17C36" w:rsidRPr="00B77090">
        <w:rPr>
          <w:rFonts w:ascii="Times New Roman" w:hAnsi="Times New Roman" w:cs="Times New Roman"/>
          <w:i/>
          <w:sz w:val="24"/>
          <w:szCs w:val="24"/>
        </w:rPr>
        <w:t>. For example, decide whether the words in a chapter of a seventh-grade science book are generally longer than the words</w:t>
      </w:r>
      <w:r w:rsidR="00DC13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C36" w:rsidRPr="00B77090">
        <w:rPr>
          <w:rFonts w:ascii="Times New Roman" w:hAnsi="Times New Roman" w:cs="Times New Roman"/>
          <w:i/>
          <w:sz w:val="24"/>
          <w:szCs w:val="24"/>
        </w:rPr>
        <w:t>in a chapter of a fou</w:t>
      </w:r>
      <w:bookmarkStart w:id="0" w:name="_GoBack"/>
      <w:bookmarkEnd w:id="0"/>
      <w:r w:rsidR="00B17C36" w:rsidRPr="00B77090">
        <w:rPr>
          <w:rFonts w:ascii="Times New Roman" w:hAnsi="Times New Roman" w:cs="Times New Roman"/>
          <w:i/>
          <w:sz w:val="24"/>
          <w:szCs w:val="24"/>
        </w:rPr>
        <w:t>rth-grade science book</w:t>
      </w:r>
      <w:r w:rsidR="00B17C36" w:rsidRPr="00B77090">
        <w:rPr>
          <w:rFonts w:ascii="Times New Roman" w:hAnsi="Times New Roman" w:cs="Times New Roman"/>
          <w:sz w:val="24"/>
          <w:szCs w:val="24"/>
        </w:rPr>
        <w:t>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13D4696A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6DCB404" w14:textId="6BF2D33E" w:rsidR="00481EDF" w:rsidRDefault="00481EDF" w:rsidP="00481EDF"/>
    <w:p w14:paraId="5D9EF0E6" w14:textId="358C9FAA" w:rsidR="00481EDF" w:rsidRDefault="00481EDF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B17C36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212B093B" w:rsidR="00B17C36" w:rsidRPr="00B17C36" w:rsidRDefault="00B17C36" w:rsidP="00B17C36">
            <w:pPr>
              <w:spacing w:after="240"/>
              <w:rPr>
                <w:rFonts w:ascii="Times New Roman" w:hAnsi="Times New Roman" w:cs="Times New Roman"/>
              </w:rPr>
            </w:pPr>
            <w:r w:rsidRPr="00D14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7.SP.A.1 – WALT </w:t>
            </w:r>
            <w:r w:rsidRPr="00D1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statistics is used to gain information about a population by examining a sample of the population</w:t>
            </w:r>
          </w:p>
        </w:tc>
        <w:tc>
          <w:tcPr>
            <w:tcW w:w="2878" w:type="dxa"/>
          </w:tcPr>
          <w:p w14:paraId="569A3B3F" w14:textId="34B37ECD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17C36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0B0DD263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14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7.SP.A.1 – WALT </w:t>
            </w:r>
            <w:r w:rsidRPr="00D1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generalizations about a population from a sample are valid only if the sample is representative of that population</w:t>
            </w:r>
          </w:p>
        </w:tc>
        <w:tc>
          <w:tcPr>
            <w:tcW w:w="2878" w:type="dxa"/>
          </w:tcPr>
          <w:p w14:paraId="31EFE459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17C36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2C4CCB0D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14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7.SP.A.1 – WALT </w:t>
            </w:r>
            <w:r w:rsidRPr="00D1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random sampling tends to produce representative samples of the population and support valid inferences</w:t>
            </w:r>
          </w:p>
        </w:tc>
        <w:tc>
          <w:tcPr>
            <w:tcW w:w="2878" w:type="dxa"/>
          </w:tcPr>
          <w:p w14:paraId="010B0DB9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17C36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19167636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14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7.SP.A.2 – WALT </w:t>
            </w:r>
            <w:r w:rsidRPr="00D1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data from a random sample to make inferences about a population with an unknown characteristic</w:t>
            </w:r>
          </w:p>
        </w:tc>
        <w:tc>
          <w:tcPr>
            <w:tcW w:w="2878" w:type="dxa"/>
          </w:tcPr>
          <w:p w14:paraId="7970C1A2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17C36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DC1A9D8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14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7.SP.A.2 – WALT </w:t>
            </w:r>
            <w:r w:rsidRPr="00D1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generate multiple samples, or simulated samples, of the same size to gauge variation in estimates or predictions</w:t>
            </w:r>
          </w:p>
        </w:tc>
        <w:tc>
          <w:tcPr>
            <w:tcW w:w="2878" w:type="dxa"/>
          </w:tcPr>
          <w:p w14:paraId="06A5CCCC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17C36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599D8E19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14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7.SP.B.3 – WALT </w:t>
            </w:r>
            <w:r w:rsidRPr="00D1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informally gauge the extent of visual overlap between two numerical distributions with similar variabilities, measure the difference between the centers and express the difference as a multiple of the measure of variability</w:t>
            </w:r>
          </w:p>
        </w:tc>
        <w:tc>
          <w:tcPr>
            <w:tcW w:w="2878" w:type="dxa"/>
          </w:tcPr>
          <w:p w14:paraId="11EB0F8F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17C36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0C612BA1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D14B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7.SP.B.4 – WALT </w:t>
            </w:r>
            <w:r w:rsidRPr="00D1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draw informal comparative inferences about two populations by using  the measures of center (mean and median) and measures of variability (interquartile range and mean absolute </w:t>
            </w:r>
            <w:r w:rsidRPr="00D14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deviation) from random samples**</w:t>
            </w:r>
          </w:p>
        </w:tc>
        <w:tc>
          <w:tcPr>
            <w:tcW w:w="2878" w:type="dxa"/>
          </w:tcPr>
          <w:p w14:paraId="1C8B8373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B17C36" w:rsidRPr="0056576B" w:rsidRDefault="00B17C36" w:rsidP="00B17C3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3DB03C91" w14:textId="77777777" w:rsidR="00481EDF" w:rsidRDefault="00481EDF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2727D201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0164" w14:textId="77777777" w:rsidR="008D6639" w:rsidRDefault="008D6639" w:rsidP="002E2912">
      <w:pPr>
        <w:spacing w:after="0" w:line="240" w:lineRule="auto"/>
      </w:pPr>
      <w:r>
        <w:separator/>
      </w:r>
    </w:p>
  </w:endnote>
  <w:endnote w:type="continuationSeparator" w:id="0">
    <w:p w14:paraId="3F283A77" w14:textId="77777777" w:rsidR="008D6639" w:rsidRDefault="008D6639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179D" w14:textId="77777777" w:rsidR="00040117" w:rsidRDefault="00040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37136AF7" w:rsidR="003F6042" w:rsidRPr="00040117" w:rsidRDefault="003F6042" w:rsidP="003F6042">
    <w:pPr>
      <w:pStyle w:val="Footer"/>
      <w:rPr>
        <w:rFonts w:ascii="Arial" w:hAnsi="Arial" w:cs="Arial"/>
      </w:rPr>
    </w:pPr>
    <w:r w:rsidRPr="00040117">
      <w:rPr>
        <w:rFonts w:ascii="Arial" w:hAnsi="Arial" w:cs="Arial"/>
      </w:rPr>
      <w:t>CAR_Mathematics-Gr.</w:t>
    </w:r>
    <w:r w:rsidR="00C179C0" w:rsidRPr="00040117">
      <w:rPr>
        <w:rFonts w:ascii="Arial" w:hAnsi="Arial" w:cs="Arial"/>
      </w:rPr>
      <w:t>7</w:t>
    </w:r>
    <w:r w:rsidRPr="00040117">
      <w:rPr>
        <w:rFonts w:ascii="Arial" w:hAnsi="Arial" w:cs="Arial"/>
      </w:rPr>
      <w:t xml:space="preserve">-Unit </w:t>
    </w:r>
    <w:r w:rsidR="00C179C0" w:rsidRPr="00040117">
      <w:rPr>
        <w:rFonts w:ascii="Arial" w:hAnsi="Arial" w:cs="Arial"/>
      </w:rPr>
      <w:t>4-</w:t>
    </w:r>
    <w:r w:rsidRPr="00040117">
      <w:rPr>
        <w:rFonts w:ascii="Arial" w:hAnsi="Arial" w:cs="Arial"/>
      </w:rPr>
      <w:t xml:space="preserve">Module </w:t>
    </w:r>
    <w:r w:rsidR="00C179C0" w:rsidRPr="00040117">
      <w:rPr>
        <w:rFonts w:ascii="Arial" w:hAnsi="Arial" w:cs="Arial"/>
      </w:rPr>
      <w:t>B</w:t>
    </w:r>
    <w:r w:rsidRPr="00040117">
      <w:rPr>
        <w:rFonts w:ascii="Arial" w:hAnsi="Arial" w:cs="Arial"/>
      </w:rPr>
      <w:ptab w:relativeTo="margin" w:alignment="center" w:leader="none"/>
    </w:r>
    <w:r w:rsidRPr="00040117">
      <w:rPr>
        <w:rFonts w:ascii="Arial" w:hAnsi="Arial" w:cs="Arial"/>
      </w:rPr>
      <w:ptab w:relativeTo="margin" w:alignment="right" w:leader="none"/>
    </w:r>
    <w:r w:rsidRPr="00040117">
      <w:rPr>
        <w:rFonts w:ascii="Arial" w:hAnsi="Arial" w:cs="Arial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D291" w14:textId="77777777" w:rsidR="00040117" w:rsidRDefault="00040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CF0C" w14:textId="77777777" w:rsidR="008D6639" w:rsidRDefault="008D6639" w:rsidP="002E2912">
      <w:pPr>
        <w:spacing w:after="0" w:line="240" w:lineRule="auto"/>
      </w:pPr>
      <w:r>
        <w:separator/>
      </w:r>
    </w:p>
  </w:footnote>
  <w:footnote w:type="continuationSeparator" w:id="0">
    <w:p w14:paraId="7B746B53" w14:textId="77777777" w:rsidR="008D6639" w:rsidRDefault="008D6639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A4B01" w14:textId="77777777" w:rsidR="00040117" w:rsidRDefault="00040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7F90" w14:textId="77777777" w:rsidR="00040117" w:rsidRDefault="00040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A838" w14:textId="77777777" w:rsidR="00040117" w:rsidRDefault="00040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40117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34877"/>
    <w:rsid w:val="00360592"/>
    <w:rsid w:val="00363A81"/>
    <w:rsid w:val="0038280E"/>
    <w:rsid w:val="003B521D"/>
    <w:rsid w:val="003E5759"/>
    <w:rsid w:val="003F6042"/>
    <w:rsid w:val="004405D2"/>
    <w:rsid w:val="00481EDF"/>
    <w:rsid w:val="004A3C78"/>
    <w:rsid w:val="005043E4"/>
    <w:rsid w:val="00523316"/>
    <w:rsid w:val="0056576B"/>
    <w:rsid w:val="00597E7A"/>
    <w:rsid w:val="005C61B7"/>
    <w:rsid w:val="005F3DD1"/>
    <w:rsid w:val="0060757B"/>
    <w:rsid w:val="00640ADB"/>
    <w:rsid w:val="00651FC7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A3CAF"/>
    <w:rsid w:val="008D6639"/>
    <w:rsid w:val="008E2274"/>
    <w:rsid w:val="009161D1"/>
    <w:rsid w:val="00971E84"/>
    <w:rsid w:val="009720AD"/>
    <w:rsid w:val="00991F28"/>
    <w:rsid w:val="00993C56"/>
    <w:rsid w:val="009A15ED"/>
    <w:rsid w:val="009E207B"/>
    <w:rsid w:val="00A02310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17C36"/>
    <w:rsid w:val="00B77090"/>
    <w:rsid w:val="00B86739"/>
    <w:rsid w:val="00C179C0"/>
    <w:rsid w:val="00D2140D"/>
    <w:rsid w:val="00D42ED9"/>
    <w:rsid w:val="00D61E4D"/>
    <w:rsid w:val="00DC131B"/>
    <w:rsid w:val="00E47D15"/>
    <w:rsid w:val="00E71955"/>
    <w:rsid w:val="00F155CA"/>
    <w:rsid w:val="00F47A27"/>
    <w:rsid w:val="00F5249B"/>
    <w:rsid w:val="00F55A36"/>
    <w:rsid w:val="00F749C6"/>
    <w:rsid w:val="00F8157B"/>
    <w:rsid w:val="00FD6FE5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B17C36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13</cp:revision>
  <dcterms:created xsi:type="dcterms:W3CDTF">2019-08-15T15:13:00Z</dcterms:created>
  <dcterms:modified xsi:type="dcterms:W3CDTF">2019-08-19T16:00:00Z</dcterms:modified>
</cp:coreProperties>
</file>